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9CBC" w14:textId="77777777" w:rsidR="00023F4B" w:rsidRPr="002B0F21" w:rsidRDefault="00023F4B" w:rsidP="00136774">
      <w:pPr>
        <w:spacing w:before="200" w:after="160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b/>
          <w:sz w:val="24"/>
          <w:szCs w:val="24"/>
          <w:lang w:val="pt-PT"/>
        </w:rPr>
        <w:t>ANEXO I - CATEGORIAS DE APOIO, VAGAS, VALORES E REQUISITOS ESPECÍFICOS</w:t>
      </w:r>
    </w:p>
    <w:tbl>
      <w:tblPr>
        <w:tblpPr w:leftFromText="141" w:rightFromText="141" w:vertAnchor="text" w:horzAnchor="margin" w:tblpY="104"/>
        <w:tblW w:w="1028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1478"/>
        <w:gridCol w:w="1092"/>
        <w:gridCol w:w="825"/>
        <w:gridCol w:w="1321"/>
        <w:gridCol w:w="949"/>
        <w:gridCol w:w="1560"/>
        <w:gridCol w:w="3061"/>
      </w:tblGrid>
      <w:tr w:rsidR="00136774" w:rsidRPr="00136774" w14:paraId="09538F32" w14:textId="77777777" w:rsidTr="00136774">
        <w:tc>
          <w:tcPr>
            <w:tcW w:w="1478" w:type="dxa"/>
            <w:shd w:val="clear" w:color="auto" w:fill="D9EAF7"/>
            <w:vAlign w:val="center"/>
          </w:tcPr>
          <w:p w14:paraId="54FFEFF4" w14:textId="77777777" w:rsidR="00136774" w:rsidRPr="00136774" w:rsidRDefault="00136774" w:rsidP="00136774">
            <w:pPr>
              <w:ind w:left="568" w:hanging="548"/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136774">
              <w:rPr>
                <w:rFonts w:ascii="Garamond" w:hAnsi="Garamond"/>
                <w:b/>
                <w:sz w:val="16"/>
                <w:szCs w:val="16"/>
              </w:rPr>
              <w:t>Categoria</w:t>
            </w:r>
            <w:proofErr w:type="spellEnd"/>
          </w:p>
        </w:tc>
        <w:tc>
          <w:tcPr>
            <w:tcW w:w="1092" w:type="dxa"/>
            <w:shd w:val="clear" w:color="auto" w:fill="D9EAF7"/>
            <w:vAlign w:val="center"/>
          </w:tcPr>
          <w:p w14:paraId="79A5481E" w14:textId="77777777" w:rsidR="00136774" w:rsidRPr="00136774" w:rsidRDefault="00136774" w:rsidP="0013677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136774">
              <w:rPr>
                <w:rFonts w:ascii="Garamond" w:hAnsi="Garamond"/>
                <w:b/>
                <w:sz w:val="16"/>
                <w:szCs w:val="16"/>
              </w:rPr>
              <w:t>ampla</w:t>
            </w:r>
            <w:proofErr w:type="spellEnd"/>
            <w:r w:rsidRPr="00136774"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proofErr w:type="spellStart"/>
            <w:r w:rsidRPr="00136774">
              <w:rPr>
                <w:rFonts w:ascii="Garamond" w:hAnsi="Garamond"/>
                <w:b/>
                <w:sz w:val="16"/>
                <w:szCs w:val="16"/>
              </w:rPr>
              <w:t>concorrência</w:t>
            </w:r>
            <w:proofErr w:type="spellEnd"/>
          </w:p>
        </w:tc>
        <w:tc>
          <w:tcPr>
            <w:tcW w:w="825" w:type="dxa"/>
            <w:shd w:val="clear" w:color="auto" w:fill="D9EAF7"/>
            <w:vAlign w:val="center"/>
          </w:tcPr>
          <w:p w14:paraId="54CC96FD" w14:textId="77777777" w:rsidR="00136774" w:rsidRPr="00136774" w:rsidRDefault="00136774" w:rsidP="00136774">
            <w:pPr>
              <w:ind w:left="117"/>
              <w:jc w:val="center"/>
              <w:rPr>
                <w:rFonts w:ascii="Garamond" w:hAnsi="Garamond"/>
                <w:b/>
                <w:sz w:val="16"/>
                <w:szCs w:val="16"/>
                <w:lang w:val="pt-PT"/>
              </w:rPr>
            </w:pPr>
            <w:r w:rsidRPr="00136774">
              <w:rPr>
                <w:rFonts w:ascii="Garamond" w:hAnsi="Garamond"/>
                <w:b/>
                <w:sz w:val="16"/>
                <w:szCs w:val="16"/>
                <w:lang w:val="pt-PT"/>
              </w:rPr>
              <w:t xml:space="preserve">Cotas </w:t>
            </w:r>
            <w:r w:rsidRPr="00136774">
              <w:rPr>
                <w:rFonts w:ascii="Garamond" w:hAnsi="Garamond" w:cstheme="minorHAnsi"/>
                <w:color w:val="000000" w:themeColor="text1"/>
                <w:sz w:val="16"/>
                <w:szCs w:val="16"/>
                <w:lang w:val="pt-PT"/>
              </w:rPr>
              <w:t>negras (pretas e pardas);</w:t>
            </w:r>
          </w:p>
        </w:tc>
        <w:tc>
          <w:tcPr>
            <w:tcW w:w="1321" w:type="dxa"/>
            <w:shd w:val="clear" w:color="auto" w:fill="D9EAF7"/>
            <w:vAlign w:val="center"/>
          </w:tcPr>
          <w:p w14:paraId="47C95DEC" w14:textId="77777777" w:rsidR="00136774" w:rsidRPr="00136774" w:rsidRDefault="00136774" w:rsidP="00136774">
            <w:pPr>
              <w:ind w:left="426"/>
              <w:jc w:val="center"/>
              <w:rPr>
                <w:rFonts w:ascii="Garamond" w:hAnsi="Garamond"/>
                <w:b/>
                <w:sz w:val="16"/>
                <w:szCs w:val="16"/>
                <w:lang w:val="pt-PT"/>
              </w:rPr>
            </w:pPr>
            <w:r w:rsidRPr="00136774">
              <w:rPr>
                <w:rFonts w:ascii="Garamond" w:hAnsi="Garamond"/>
                <w:b/>
                <w:sz w:val="16"/>
                <w:szCs w:val="16"/>
                <w:lang w:val="pt-PT"/>
              </w:rPr>
              <w:t>Indígenas e PCD</w:t>
            </w:r>
          </w:p>
        </w:tc>
        <w:tc>
          <w:tcPr>
            <w:tcW w:w="949" w:type="dxa"/>
            <w:shd w:val="clear" w:color="auto" w:fill="D9EAF7"/>
            <w:vAlign w:val="center"/>
          </w:tcPr>
          <w:p w14:paraId="132503CC" w14:textId="77777777" w:rsidR="00136774" w:rsidRPr="00136774" w:rsidRDefault="00136774" w:rsidP="00136774">
            <w:pPr>
              <w:ind w:left="5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136774">
              <w:rPr>
                <w:rFonts w:ascii="Garamond" w:hAnsi="Garamond"/>
                <w:b/>
                <w:sz w:val="16"/>
                <w:szCs w:val="16"/>
              </w:rPr>
              <w:t>TOTAL</w:t>
            </w:r>
          </w:p>
        </w:tc>
        <w:tc>
          <w:tcPr>
            <w:tcW w:w="1560" w:type="dxa"/>
            <w:shd w:val="clear" w:color="auto" w:fill="D9EAF7"/>
            <w:vAlign w:val="center"/>
          </w:tcPr>
          <w:p w14:paraId="0E0F7384" w14:textId="77777777" w:rsidR="00136774" w:rsidRPr="00136774" w:rsidRDefault="00136774" w:rsidP="00136774">
            <w:pPr>
              <w:ind w:left="426"/>
              <w:jc w:val="center"/>
              <w:rPr>
                <w:rFonts w:ascii="Garamond" w:hAnsi="Garamond"/>
                <w:sz w:val="16"/>
                <w:szCs w:val="16"/>
              </w:rPr>
            </w:pPr>
            <w:r w:rsidRPr="00136774">
              <w:rPr>
                <w:rFonts w:ascii="Garamond" w:hAnsi="Garamond"/>
                <w:b/>
                <w:sz w:val="16"/>
                <w:szCs w:val="16"/>
              </w:rPr>
              <w:t xml:space="preserve">Valor </w:t>
            </w:r>
            <w:proofErr w:type="spellStart"/>
            <w:r w:rsidRPr="00136774">
              <w:rPr>
                <w:rFonts w:ascii="Garamond" w:hAnsi="Garamond"/>
                <w:b/>
                <w:sz w:val="16"/>
                <w:szCs w:val="16"/>
              </w:rPr>
              <w:t>por</w:t>
            </w:r>
            <w:proofErr w:type="spellEnd"/>
            <w:r w:rsidRPr="00136774"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proofErr w:type="spellStart"/>
            <w:r w:rsidRPr="00136774">
              <w:rPr>
                <w:rFonts w:ascii="Garamond" w:hAnsi="Garamond"/>
                <w:b/>
                <w:sz w:val="16"/>
                <w:szCs w:val="16"/>
              </w:rPr>
              <w:t>proposta</w:t>
            </w:r>
            <w:proofErr w:type="spellEnd"/>
          </w:p>
        </w:tc>
        <w:tc>
          <w:tcPr>
            <w:tcW w:w="3061" w:type="dxa"/>
            <w:shd w:val="clear" w:color="auto" w:fill="D9EAF7"/>
            <w:vAlign w:val="center"/>
          </w:tcPr>
          <w:p w14:paraId="01CF5098" w14:textId="77777777" w:rsidR="00136774" w:rsidRPr="00136774" w:rsidRDefault="00136774" w:rsidP="00136774">
            <w:pPr>
              <w:ind w:left="426"/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136774">
              <w:rPr>
                <w:rFonts w:ascii="Garamond" w:hAnsi="Garamond"/>
                <w:b/>
                <w:sz w:val="16"/>
                <w:szCs w:val="16"/>
              </w:rPr>
              <w:t>Objeto</w:t>
            </w:r>
            <w:proofErr w:type="spellEnd"/>
            <w:r w:rsidRPr="00136774"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proofErr w:type="spellStart"/>
            <w:r w:rsidRPr="00136774">
              <w:rPr>
                <w:rFonts w:ascii="Garamond" w:hAnsi="Garamond"/>
                <w:b/>
                <w:sz w:val="16"/>
                <w:szCs w:val="16"/>
              </w:rPr>
              <w:t>mínimo</w:t>
            </w:r>
            <w:proofErr w:type="spellEnd"/>
            <w:r w:rsidRPr="00136774"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proofErr w:type="spellStart"/>
            <w:r w:rsidRPr="00136774">
              <w:rPr>
                <w:rFonts w:ascii="Garamond" w:hAnsi="Garamond"/>
                <w:b/>
                <w:sz w:val="16"/>
                <w:szCs w:val="16"/>
              </w:rPr>
              <w:t>esperado</w:t>
            </w:r>
            <w:proofErr w:type="spellEnd"/>
          </w:p>
        </w:tc>
      </w:tr>
      <w:tr w:rsidR="00136774" w:rsidRPr="00D76658" w14:paraId="01E2F271" w14:textId="77777777" w:rsidTr="00136774">
        <w:tc>
          <w:tcPr>
            <w:tcW w:w="1478" w:type="dxa"/>
            <w:vAlign w:val="center"/>
          </w:tcPr>
          <w:p w14:paraId="65A91894" w14:textId="77777777" w:rsidR="00136774" w:rsidRPr="00136774" w:rsidRDefault="00136774" w:rsidP="00136774">
            <w:pPr>
              <w:ind w:left="20"/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136774">
              <w:rPr>
                <w:rFonts w:ascii="Garamond" w:hAnsi="Garamond"/>
                <w:sz w:val="16"/>
                <w:szCs w:val="16"/>
              </w:rPr>
              <w:t>Quadrilha</w:t>
            </w:r>
            <w:proofErr w:type="spellEnd"/>
            <w:r w:rsidRPr="00136774">
              <w:rPr>
                <w:rFonts w:ascii="Garamond" w:hAnsi="Garamond"/>
                <w:sz w:val="16"/>
                <w:szCs w:val="16"/>
              </w:rPr>
              <w:t xml:space="preserve"> Junina </w:t>
            </w:r>
            <w:proofErr w:type="spellStart"/>
            <w:r w:rsidRPr="00136774">
              <w:rPr>
                <w:rFonts w:ascii="Garamond" w:hAnsi="Garamond"/>
                <w:sz w:val="16"/>
                <w:szCs w:val="16"/>
              </w:rPr>
              <w:t>Adulta</w:t>
            </w:r>
            <w:proofErr w:type="spellEnd"/>
          </w:p>
        </w:tc>
        <w:tc>
          <w:tcPr>
            <w:tcW w:w="1092" w:type="dxa"/>
            <w:vAlign w:val="center"/>
          </w:tcPr>
          <w:p w14:paraId="2320C511" w14:textId="77777777" w:rsidR="00136774" w:rsidRPr="00136774" w:rsidRDefault="00136774" w:rsidP="00136774">
            <w:pPr>
              <w:ind w:left="426"/>
              <w:jc w:val="center"/>
              <w:rPr>
                <w:rFonts w:ascii="Garamond" w:hAnsi="Garamond"/>
                <w:sz w:val="16"/>
                <w:szCs w:val="16"/>
              </w:rPr>
            </w:pPr>
            <w:r w:rsidRPr="00136774">
              <w:rPr>
                <w:rFonts w:ascii="Garamond" w:hAnsi="Garamond"/>
                <w:sz w:val="16"/>
                <w:szCs w:val="16"/>
              </w:rPr>
              <w:t>01</w:t>
            </w:r>
          </w:p>
        </w:tc>
        <w:tc>
          <w:tcPr>
            <w:tcW w:w="825" w:type="dxa"/>
            <w:vAlign w:val="center"/>
          </w:tcPr>
          <w:p w14:paraId="3B34E987" w14:textId="77777777" w:rsidR="00136774" w:rsidRPr="00136774" w:rsidRDefault="00136774" w:rsidP="00136774">
            <w:pPr>
              <w:ind w:left="117"/>
              <w:jc w:val="center"/>
              <w:rPr>
                <w:rFonts w:ascii="Garamond" w:hAnsi="Garamond"/>
                <w:sz w:val="16"/>
                <w:szCs w:val="16"/>
              </w:rPr>
            </w:pPr>
            <w:r w:rsidRPr="00136774">
              <w:rPr>
                <w:rFonts w:ascii="Garamond" w:hAnsi="Garamond"/>
                <w:sz w:val="16"/>
                <w:szCs w:val="16"/>
              </w:rPr>
              <w:t>-</w:t>
            </w:r>
          </w:p>
        </w:tc>
        <w:tc>
          <w:tcPr>
            <w:tcW w:w="1321" w:type="dxa"/>
            <w:vAlign w:val="center"/>
          </w:tcPr>
          <w:p w14:paraId="77EFBD67" w14:textId="55B6BAEC" w:rsidR="00136774" w:rsidRPr="00136774" w:rsidRDefault="00136774" w:rsidP="00136774">
            <w:pPr>
              <w:ind w:left="426" w:hanging="531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  <w:tc>
          <w:tcPr>
            <w:tcW w:w="949" w:type="dxa"/>
            <w:vAlign w:val="center"/>
          </w:tcPr>
          <w:p w14:paraId="4341FEB2" w14:textId="20DF5871" w:rsidR="00136774" w:rsidRPr="00136774" w:rsidRDefault="00136774" w:rsidP="00136774">
            <w:pPr>
              <w:ind w:left="50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01</w:t>
            </w:r>
          </w:p>
        </w:tc>
        <w:tc>
          <w:tcPr>
            <w:tcW w:w="1560" w:type="dxa"/>
            <w:vAlign w:val="center"/>
          </w:tcPr>
          <w:p w14:paraId="55D4CA41" w14:textId="77777777" w:rsidR="00136774" w:rsidRPr="00136774" w:rsidRDefault="00136774" w:rsidP="00136774">
            <w:pPr>
              <w:ind w:left="426"/>
              <w:jc w:val="center"/>
              <w:rPr>
                <w:rFonts w:ascii="Garamond" w:hAnsi="Garamond"/>
                <w:sz w:val="16"/>
                <w:szCs w:val="16"/>
              </w:rPr>
            </w:pPr>
            <w:r w:rsidRPr="00136774">
              <w:rPr>
                <w:rFonts w:ascii="Garamond" w:hAnsi="Garamond"/>
                <w:sz w:val="16"/>
                <w:szCs w:val="16"/>
              </w:rPr>
              <w:t>R$ 30.000,00</w:t>
            </w:r>
          </w:p>
        </w:tc>
        <w:tc>
          <w:tcPr>
            <w:tcW w:w="3061" w:type="dxa"/>
            <w:vAlign w:val="center"/>
          </w:tcPr>
          <w:p w14:paraId="5F60066A" w14:textId="77777777" w:rsidR="00136774" w:rsidRPr="00136774" w:rsidRDefault="00136774" w:rsidP="00136774">
            <w:pPr>
              <w:ind w:left="426"/>
              <w:jc w:val="center"/>
              <w:rPr>
                <w:rFonts w:ascii="Garamond" w:hAnsi="Garamond"/>
                <w:sz w:val="16"/>
                <w:szCs w:val="16"/>
                <w:lang w:val="pt-PT"/>
              </w:rPr>
            </w:pPr>
            <w:r w:rsidRPr="00136774">
              <w:rPr>
                <w:rFonts w:ascii="Garamond" w:hAnsi="Garamond"/>
                <w:sz w:val="16"/>
                <w:szCs w:val="16"/>
                <w:lang w:val="pt-PT"/>
              </w:rPr>
              <w:t>Realização de apresentação cultural junina por grupo adulto, com preparação, ensaios, figurino, repertório, coreografia e participação no Ciclo Junino de Eusébio.</w:t>
            </w:r>
          </w:p>
        </w:tc>
      </w:tr>
      <w:tr w:rsidR="00136774" w:rsidRPr="00D76658" w14:paraId="73E32414" w14:textId="77777777" w:rsidTr="00136774">
        <w:tc>
          <w:tcPr>
            <w:tcW w:w="1478" w:type="dxa"/>
            <w:vAlign w:val="center"/>
          </w:tcPr>
          <w:p w14:paraId="7A7B9C09" w14:textId="77777777" w:rsidR="00136774" w:rsidRPr="00136774" w:rsidRDefault="00136774" w:rsidP="00136774">
            <w:pPr>
              <w:ind w:left="20"/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136774">
              <w:rPr>
                <w:rFonts w:ascii="Garamond" w:hAnsi="Garamond"/>
                <w:sz w:val="16"/>
                <w:szCs w:val="16"/>
              </w:rPr>
              <w:t>Quadrilha</w:t>
            </w:r>
            <w:proofErr w:type="spellEnd"/>
            <w:r w:rsidRPr="00136774">
              <w:rPr>
                <w:rFonts w:ascii="Garamond" w:hAnsi="Garamond"/>
                <w:sz w:val="16"/>
                <w:szCs w:val="16"/>
              </w:rPr>
              <w:t xml:space="preserve"> Junina </w:t>
            </w:r>
            <w:proofErr w:type="spellStart"/>
            <w:r w:rsidRPr="00136774">
              <w:rPr>
                <w:rFonts w:ascii="Garamond" w:hAnsi="Garamond"/>
                <w:sz w:val="16"/>
                <w:szCs w:val="16"/>
              </w:rPr>
              <w:t>Infantojuvenil</w:t>
            </w:r>
            <w:proofErr w:type="spellEnd"/>
          </w:p>
        </w:tc>
        <w:tc>
          <w:tcPr>
            <w:tcW w:w="1092" w:type="dxa"/>
            <w:vAlign w:val="center"/>
          </w:tcPr>
          <w:p w14:paraId="731DEDF2" w14:textId="0182AC53" w:rsidR="00136774" w:rsidRPr="00136774" w:rsidRDefault="00136774" w:rsidP="00136774">
            <w:pPr>
              <w:ind w:left="426"/>
              <w:jc w:val="center"/>
              <w:rPr>
                <w:rFonts w:ascii="Garamond" w:hAnsi="Garamond"/>
                <w:sz w:val="16"/>
                <w:szCs w:val="16"/>
              </w:rPr>
            </w:pPr>
            <w:r w:rsidRPr="00136774">
              <w:rPr>
                <w:rFonts w:ascii="Garamond" w:hAnsi="Garamond"/>
                <w:sz w:val="16"/>
                <w:szCs w:val="16"/>
              </w:rPr>
              <w:t>0</w:t>
            </w:r>
            <w:r w:rsidR="0073179D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25" w:type="dxa"/>
            <w:vAlign w:val="center"/>
          </w:tcPr>
          <w:p w14:paraId="5E3E443D" w14:textId="543C03D4" w:rsidR="00136774" w:rsidRPr="00136774" w:rsidRDefault="00234661" w:rsidP="00136774">
            <w:pPr>
              <w:ind w:left="117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  <w:tc>
          <w:tcPr>
            <w:tcW w:w="1321" w:type="dxa"/>
            <w:vAlign w:val="center"/>
          </w:tcPr>
          <w:p w14:paraId="15CCC496" w14:textId="77777777" w:rsidR="00136774" w:rsidRPr="00136774" w:rsidRDefault="00136774" w:rsidP="00136774">
            <w:pPr>
              <w:ind w:left="426" w:hanging="531"/>
              <w:jc w:val="center"/>
              <w:rPr>
                <w:rFonts w:ascii="Garamond" w:hAnsi="Garamond"/>
                <w:sz w:val="16"/>
                <w:szCs w:val="16"/>
              </w:rPr>
            </w:pPr>
            <w:r w:rsidRPr="00136774">
              <w:rPr>
                <w:rFonts w:ascii="Garamond" w:hAnsi="Garamond"/>
                <w:sz w:val="16"/>
                <w:szCs w:val="16"/>
              </w:rPr>
              <w:t>-</w:t>
            </w:r>
          </w:p>
        </w:tc>
        <w:tc>
          <w:tcPr>
            <w:tcW w:w="949" w:type="dxa"/>
            <w:vAlign w:val="center"/>
          </w:tcPr>
          <w:p w14:paraId="6B9E5B99" w14:textId="4AC7463A" w:rsidR="00136774" w:rsidRPr="00136774" w:rsidRDefault="00136774" w:rsidP="00136774">
            <w:pPr>
              <w:ind w:left="50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</w:t>
            </w:r>
            <w:r w:rsidR="00234661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1560" w:type="dxa"/>
            <w:vAlign w:val="center"/>
          </w:tcPr>
          <w:p w14:paraId="352CE3C2" w14:textId="77777777" w:rsidR="00136774" w:rsidRPr="00136774" w:rsidRDefault="00136774" w:rsidP="00136774">
            <w:pPr>
              <w:ind w:left="426"/>
              <w:jc w:val="center"/>
              <w:rPr>
                <w:rFonts w:ascii="Garamond" w:hAnsi="Garamond"/>
                <w:sz w:val="16"/>
                <w:szCs w:val="16"/>
              </w:rPr>
            </w:pPr>
            <w:r w:rsidRPr="00136774">
              <w:rPr>
                <w:rFonts w:ascii="Garamond" w:hAnsi="Garamond"/>
                <w:sz w:val="16"/>
                <w:szCs w:val="16"/>
              </w:rPr>
              <w:t>R$ 12.000,00</w:t>
            </w:r>
          </w:p>
        </w:tc>
        <w:tc>
          <w:tcPr>
            <w:tcW w:w="3061" w:type="dxa"/>
            <w:vAlign w:val="center"/>
          </w:tcPr>
          <w:p w14:paraId="162A67F7" w14:textId="77777777" w:rsidR="00136774" w:rsidRPr="00136774" w:rsidRDefault="00136774" w:rsidP="00136774">
            <w:pPr>
              <w:ind w:left="426"/>
              <w:jc w:val="center"/>
              <w:rPr>
                <w:rFonts w:ascii="Garamond" w:hAnsi="Garamond"/>
                <w:sz w:val="16"/>
                <w:szCs w:val="16"/>
                <w:lang w:val="pt-PT"/>
              </w:rPr>
            </w:pPr>
            <w:r w:rsidRPr="00136774">
              <w:rPr>
                <w:rFonts w:ascii="Garamond" w:hAnsi="Garamond"/>
                <w:sz w:val="16"/>
                <w:szCs w:val="16"/>
                <w:lang w:val="pt-PT"/>
              </w:rPr>
              <w:t>Realização de apresentação cultural junina por grupo infantojuvenil, priorizando formação cultural, participação comunitária e valorização das tradições juninas.</w:t>
            </w:r>
          </w:p>
        </w:tc>
      </w:tr>
      <w:tr w:rsidR="00136774" w:rsidRPr="00D76658" w14:paraId="68BA73C3" w14:textId="77777777" w:rsidTr="00136774">
        <w:tc>
          <w:tcPr>
            <w:tcW w:w="1478" w:type="dxa"/>
            <w:vAlign w:val="center"/>
          </w:tcPr>
          <w:p w14:paraId="6BEBF9B1" w14:textId="77777777" w:rsidR="00136774" w:rsidRPr="00136774" w:rsidRDefault="00136774" w:rsidP="00136774">
            <w:pPr>
              <w:ind w:left="20"/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136774">
              <w:rPr>
                <w:rFonts w:ascii="Garamond" w:hAnsi="Garamond"/>
                <w:sz w:val="16"/>
                <w:szCs w:val="16"/>
              </w:rPr>
              <w:t>Quadrilha</w:t>
            </w:r>
            <w:proofErr w:type="spellEnd"/>
            <w:r w:rsidRPr="00136774">
              <w:rPr>
                <w:rFonts w:ascii="Garamond" w:hAnsi="Garamond"/>
                <w:sz w:val="16"/>
                <w:szCs w:val="16"/>
              </w:rPr>
              <w:t xml:space="preserve"> Junina </w:t>
            </w:r>
            <w:proofErr w:type="spellStart"/>
            <w:r w:rsidRPr="00136774">
              <w:rPr>
                <w:rFonts w:ascii="Garamond" w:hAnsi="Garamond"/>
                <w:sz w:val="16"/>
                <w:szCs w:val="16"/>
              </w:rPr>
              <w:t>Infantil</w:t>
            </w:r>
            <w:proofErr w:type="spellEnd"/>
          </w:p>
        </w:tc>
        <w:tc>
          <w:tcPr>
            <w:tcW w:w="1092" w:type="dxa"/>
            <w:vAlign w:val="center"/>
          </w:tcPr>
          <w:p w14:paraId="56D6E0D4" w14:textId="77777777" w:rsidR="00136774" w:rsidRPr="00136774" w:rsidRDefault="00136774" w:rsidP="00136774">
            <w:pPr>
              <w:ind w:left="426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07</w:t>
            </w:r>
          </w:p>
        </w:tc>
        <w:tc>
          <w:tcPr>
            <w:tcW w:w="825" w:type="dxa"/>
            <w:vAlign w:val="center"/>
          </w:tcPr>
          <w:p w14:paraId="0C7C03A7" w14:textId="77777777" w:rsidR="00136774" w:rsidRPr="00136774" w:rsidRDefault="00136774" w:rsidP="00136774">
            <w:pPr>
              <w:ind w:left="117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</w:t>
            </w:r>
            <w:r w:rsidRPr="00136774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1321" w:type="dxa"/>
            <w:vAlign w:val="center"/>
          </w:tcPr>
          <w:p w14:paraId="0CA4E0F5" w14:textId="77777777" w:rsidR="00136774" w:rsidRPr="00136774" w:rsidRDefault="00136774" w:rsidP="00136774">
            <w:pPr>
              <w:ind w:left="-90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</w:t>
            </w:r>
            <w:r w:rsidRPr="00136774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949" w:type="dxa"/>
            <w:vAlign w:val="center"/>
          </w:tcPr>
          <w:p w14:paraId="2C56CED4" w14:textId="77777777" w:rsidR="00136774" w:rsidRPr="00136774" w:rsidRDefault="00136774" w:rsidP="00136774">
            <w:pPr>
              <w:ind w:left="50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11</w:t>
            </w:r>
          </w:p>
        </w:tc>
        <w:tc>
          <w:tcPr>
            <w:tcW w:w="1560" w:type="dxa"/>
            <w:vAlign w:val="center"/>
          </w:tcPr>
          <w:p w14:paraId="19495ADB" w14:textId="77777777" w:rsidR="00136774" w:rsidRPr="00136774" w:rsidRDefault="00136774" w:rsidP="00136774">
            <w:pPr>
              <w:ind w:left="426"/>
              <w:jc w:val="center"/>
              <w:rPr>
                <w:rFonts w:ascii="Garamond" w:hAnsi="Garamond"/>
                <w:sz w:val="16"/>
                <w:szCs w:val="16"/>
              </w:rPr>
            </w:pPr>
            <w:r w:rsidRPr="00136774">
              <w:rPr>
                <w:rFonts w:ascii="Garamond" w:hAnsi="Garamond"/>
                <w:sz w:val="16"/>
                <w:szCs w:val="16"/>
              </w:rPr>
              <w:t>R$ 5.000,00</w:t>
            </w:r>
          </w:p>
        </w:tc>
        <w:tc>
          <w:tcPr>
            <w:tcW w:w="3061" w:type="dxa"/>
            <w:vAlign w:val="center"/>
          </w:tcPr>
          <w:p w14:paraId="2E2F541C" w14:textId="77777777" w:rsidR="00136774" w:rsidRPr="00136774" w:rsidRDefault="00136774" w:rsidP="00136774">
            <w:pPr>
              <w:ind w:left="426"/>
              <w:jc w:val="center"/>
              <w:rPr>
                <w:rFonts w:ascii="Garamond" w:hAnsi="Garamond"/>
                <w:sz w:val="16"/>
                <w:szCs w:val="16"/>
                <w:lang w:val="pt-PT"/>
              </w:rPr>
            </w:pPr>
            <w:r w:rsidRPr="00136774">
              <w:rPr>
                <w:rFonts w:ascii="Garamond" w:hAnsi="Garamond"/>
                <w:sz w:val="16"/>
                <w:szCs w:val="16"/>
                <w:lang w:val="pt-PT"/>
              </w:rPr>
              <w:t xml:space="preserve">Realização de apresentação cultural junina infantil, com </w:t>
            </w:r>
            <w:proofErr w:type="spellStart"/>
            <w:r w:rsidRPr="00136774">
              <w:rPr>
                <w:rFonts w:ascii="Garamond" w:hAnsi="Garamond"/>
                <w:sz w:val="16"/>
                <w:szCs w:val="16"/>
                <w:lang w:val="pt-PT"/>
              </w:rPr>
              <w:t>caráter</w:t>
            </w:r>
            <w:proofErr w:type="spellEnd"/>
            <w:r w:rsidRPr="00136774">
              <w:rPr>
                <w:rFonts w:ascii="Garamond" w:hAnsi="Garamond"/>
                <w:sz w:val="16"/>
                <w:szCs w:val="16"/>
                <w:lang w:val="pt-PT"/>
              </w:rPr>
              <w:t xml:space="preserve"> formativo, comunitário e de preservação das tradições populares.</w:t>
            </w:r>
          </w:p>
        </w:tc>
      </w:tr>
      <w:tr w:rsidR="00136774" w:rsidRPr="00D76658" w14:paraId="421E749B" w14:textId="77777777" w:rsidTr="00136774">
        <w:tc>
          <w:tcPr>
            <w:tcW w:w="1478" w:type="dxa"/>
            <w:vAlign w:val="center"/>
          </w:tcPr>
          <w:p w14:paraId="53F7E584" w14:textId="77777777" w:rsidR="00136774" w:rsidRPr="00136774" w:rsidRDefault="00136774" w:rsidP="00136774">
            <w:pPr>
              <w:ind w:left="20"/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136774">
              <w:rPr>
                <w:rFonts w:ascii="Garamond" w:hAnsi="Garamond"/>
                <w:sz w:val="16"/>
                <w:szCs w:val="16"/>
              </w:rPr>
              <w:t>Atrações</w:t>
            </w:r>
            <w:proofErr w:type="spellEnd"/>
            <w:r w:rsidRPr="0013677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136774">
              <w:rPr>
                <w:rFonts w:ascii="Garamond" w:hAnsi="Garamond"/>
                <w:sz w:val="16"/>
                <w:szCs w:val="16"/>
              </w:rPr>
              <w:t>Musicais</w:t>
            </w:r>
            <w:proofErr w:type="spellEnd"/>
            <w:r w:rsidRPr="0013677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136774">
              <w:rPr>
                <w:rFonts w:ascii="Garamond" w:hAnsi="Garamond"/>
                <w:sz w:val="16"/>
                <w:szCs w:val="16"/>
              </w:rPr>
              <w:t>Locais</w:t>
            </w:r>
            <w:proofErr w:type="spellEnd"/>
          </w:p>
        </w:tc>
        <w:tc>
          <w:tcPr>
            <w:tcW w:w="1092" w:type="dxa"/>
            <w:vAlign w:val="center"/>
          </w:tcPr>
          <w:p w14:paraId="682CE572" w14:textId="77777777" w:rsidR="00136774" w:rsidRPr="00136774" w:rsidRDefault="00136774" w:rsidP="00136774">
            <w:pPr>
              <w:ind w:firstLine="58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08</w:t>
            </w:r>
          </w:p>
        </w:tc>
        <w:tc>
          <w:tcPr>
            <w:tcW w:w="825" w:type="dxa"/>
            <w:vAlign w:val="center"/>
          </w:tcPr>
          <w:p w14:paraId="1D6B4738" w14:textId="77777777" w:rsidR="00136774" w:rsidRPr="00136774" w:rsidRDefault="00136774" w:rsidP="00136774">
            <w:pPr>
              <w:ind w:left="117"/>
              <w:jc w:val="center"/>
              <w:rPr>
                <w:rFonts w:ascii="Garamond" w:hAnsi="Garamond"/>
                <w:sz w:val="16"/>
                <w:szCs w:val="16"/>
              </w:rPr>
            </w:pPr>
            <w:r w:rsidRPr="00136774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1321" w:type="dxa"/>
            <w:vAlign w:val="center"/>
          </w:tcPr>
          <w:p w14:paraId="3797EC09" w14:textId="77777777" w:rsidR="00136774" w:rsidRPr="00136774" w:rsidRDefault="00136774" w:rsidP="00136774">
            <w:pPr>
              <w:ind w:left="426" w:hanging="516"/>
              <w:jc w:val="center"/>
              <w:rPr>
                <w:rFonts w:ascii="Garamond" w:hAnsi="Garamond"/>
                <w:sz w:val="16"/>
                <w:szCs w:val="16"/>
              </w:rPr>
            </w:pPr>
            <w:r w:rsidRPr="00136774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949" w:type="dxa"/>
            <w:vAlign w:val="center"/>
          </w:tcPr>
          <w:p w14:paraId="5A46F40D" w14:textId="77777777" w:rsidR="00136774" w:rsidRPr="00136774" w:rsidRDefault="00136774" w:rsidP="00136774">
            <w:pPr>
              <w:ind w:left="50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12</w:t>
            </w:r>
          </w:p>
        </w:tc>
        <w:tc>
          <w:tcPr>
            <w:tcW w:w="1560" w:type="dxa"/>
            <w:vAlign w:val="center"/>
          </w:tcPr>
          <w:p w14:paraId="6F0D8E4E" w14:textId="77777777" w:rsidR="00136774" w:rsidRPr="00136774" w:rsidRDefault="00136774" w:rsidP="00136774">
            <w:pPr>
              <w:ind w:left="426"/>
              <w:jc w:val="center"/>
              <w:rPr>
                <w:rFonts w:ascii="Garamond" w:hAnsi="Garamond"/>
                <w:sz w:val="16"/>
                <w:szCs w:val="16"/>
              </w:rPr>
            </w:pPr>
            <w:r w:rsidRPr="00136774">
              <w:rPr>
                <w:rFonts w:ascii="Garamond" w:hAnsi="Garamond"/>
                <w:sz w:val="16"/>
                <w:szCs w:val="16"/>
              </w:rPr>
              <w:t>R$ 6.000,00</w:t>
            </w:r>
          </w:p>
        </w:tc>
        <w:tc>
          <w:tcPr>
            <w:tcW w:w="3061" w:type="dxa"/>
            <w:vAlign w:val="center"/>
          </w:tcPr>
          <w:p w14:paraId="761942A4" w14:textId="77777777" w:rsidR="00136774" w:rsidRPr="00136774" w:rsidRDefault="00136774" w:rsidP="00136774">
            <w:pPr>
              <w:ind w:left="426"/>
              <w:jc w:val="center"/>
              <w:rPr>
                <w:rFonts w:ascii="Garamond" w:hAnsi="Garamond"/>
                <w:sz w:val="16"/>
                <w:szCs w:val="16"/>
                <w:lang w:val="pt-PT"/>
              </w:rPr>
            </w:pPr>
            <w:r w:rsidRPr="00136774">
              <w:rPr>
                <w:rFonts w:ascii="Garamond" w:hAnsi="Garamond"/>
                <w:sz w:val="16"/>
                <w:szCs w:val="16"/>
                <w:lang w:val="pt-PT"/>
              </w:rPr>
              <w:t>Realização de apresentação musical com repertório compatível com o Ciclo Junino, especialmente forró, xote, baião, arrasta-pé, música regional e manifestações populares.</w:t>
            </w:r>
          </w:p>
        </w:tc>
      </w:tr>
    </w:tbl>
    <w:p w14:paraId="77C056AB" w14:textId="77777777" w:rsidR="00023F4B" w:rsidRPr="002B0F21" w:rsidRDefault="00023F4B" w:rsidP="00023F4B">
      <w:pPr>
        <w:spacing w:after="40"/>
        <w:ind w:left="426"/>
        <w:rPr>
          <w:rFonts w:ascii="Garamond" w:hAnsi="Garamond"/>
          <w:sz w:val="24"/>
          <w:szCs w:val="24"/>
          <w:lang w:val="pt-PT"/>
        </w:rPr>
      </w:pPr>
    </w:p>
    <w:p w14:paraId="28C9E12C" w14:textId="3D6322F4" w:rsidR="00023F4B" w:rsidRPr="002B0F21" w:rsidRDefault="00023F4B" w:rsidP="00023F4B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Requisitos gerais: comprovar residência no Município de Eusébio há pelo menos 02 anos; apresentar plano de trabalho compatível com a categoria; assumir a responsabilidade pela execução artística e cultural da proposta; cumprir as datas, locais e orientações pactuadas no Termo de Execução Cultural.</w:t>
      </w:r>
    </w:p>
    <w:p w14:paraId="63D022FC" w14:textId="77777777" w:rsidR="00023F4B" w:rsidRDefault="00023F4B" w:rsidP="00023F4B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 xml:space="preserve">Documentos recomendáveis para comprovação de trajetória: fotos, vídeos, cartazes, certificados, declarações de instituições, matérias jornalísticas, publicações em redes sociais, contratos anteriores, </w:t>
      </w:r>
      <w:proofErr w:type="gramStart"/>
      <w:r w:rsidRPr="002B0F21">
        <w:rPr>
          <w:rFonts w:ascii="Garamond" w:hAnsi="Garamond"/>
          <w:sz w:val="24"/>
          <w:szCs w:val="24"/>
          <w:lang w:val="pt-PT"/>
        </w:rPr>
        <w:t>registros</w:t>
      </w:r>
      <w:proofErr w:type="gramEnd"/>
      <w:r w:rsidRPr="002B0F21">
        <w:rPr>
          <w:rFonts w:ascii="Garamond" w:hAnsi="Garamond"/>
          <w:sz w:val="24"/>
          <w:szCs w:val="24"/>
          <w:lang w:val="pt-PT"/>
        </w:rPr>
        <w:t xml:space="preserve"> de apresentações, declarações comunitárias ou outros documentos idôneos.</w:t>
      </w:r>
    </w:p>
    <w:p w14:paraId="67F14ED6" w14:textId="77777777" w:rsidR="00D74622" w:rsidRDefault="00D74622" w:rsidP="00023F4B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</w:p>
    <w:p w14:paraId="1F310B74" w14:textId="77777777" w:rsidR="00D74622" w:rsidRDefault="00D74622" w:rsidP="00023F4B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</w:p>
    <w:p w14:paraId="53E2024B" w14:textId="77777777" w:rsidR="00D74622" w:rsidRDefault="00D74622" w:rsidP="00023F4B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</w:p>
    <w:p w14:paraId="3E21F3E7" w14:textId="77777777" w:rsidR="00D74622" w:rsidRDefault="00D74622" w:rsidP="00023F4B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</w:p>
    <w:p w14:paraId="2D99A4B8" w14:textId="77777777" w:rsidR="00D74622" w:rsidRDefault="00D74622" w:rsidP="00023F4B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</w:p>
    <w:p w14:paraId="0D91ADE9" w14:textId="77777777" w:rsidR="00D74622" w:rsidRDefault="00D74622" w:rsidP="00023F4B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</w:p>
    <w:p w14:paraId="02281B8F" w14:textId="77777777" w:rsidR="00D74622" w:rsidRDefault="00D74622" w:rsidP="00B40A1B">
      <w:pPr>
        <w:spacing w:after="80"/>
        <w:jc w:val="both"/>
        <w:rPr>
          <w:rFonts w:ascii="Garamond" w:hAnsi="Garamond"/>
          <w:sz w:val="24"/>
          <w:szCs w:val="24"/>
          <w:lang w:val="pt-PT"/>
        </w:rPr>
      </w:pPr>
    </w:p>
    <w:p w14:paraId="4488827F" w14:textId="77777777" w:rsidR="00D74622" w:rsidRPr="00D74622" w:rsidRDefault="00D74622" w:rsidP="00D74622">
      <w:pPr>
        <w:pStyle w:val="isselectedend"/>
        <w:spacing w:line="276" w:lineRule="auto"/>
        <w:jc w:val="both"/>
        <w:rPr>
          <w:rFonts w:ascii="Garamond" w:hAnsi="Garamond"/>
        </w:rPr>
      </w:pPr>
      <w:r w:rsidRPr="00D74622">
        <w:rPr>
          <w:rFonts w:ascii="Garamond" w:hAnsi="Garamond"/>
        </w:rPr>
        <w:lastRenderedPageBreak/>
        <w:t>Para fins deste Edital, as categorias de quadrilhas juninas serão compreendidas de acordo com sua finalidade cultural, faixa de atuação, grau de organização, trajetória artística, inserção comunitária e nível de participação no movimento junino municipal e estadual.</w:t>
      </w:r>
    </w:p>
    <w:p w14:paraId="4403135C" w14:textId="77777777" w:rsidR="00D74622" w:rsidRPr="00D74622" w:rsidRDefault="00D74622" w:rsidP="00D74622">
      <w:pPr>
        <w:pStyle w:val="isselectedend"/>
        <w:spacing w:line="276" w:lineRule="auto"/>
        <w:jc w:val="both"/>
        <w:rPr>
          <w:rFonts w:ascii="Garamond" w:hAnsi="Garamond"/>
        </w:rPr>
      </w:pPr>
      <w:r w:rsidRPr="00D74622">
        <w:rPr>
          <w:rFonts w:ascii="Garamond" w:hAnsi="Garamond"/>
        </w:rPr>
        <w:t xml:space="preserve">A categoria </w:t>
      </w:r>
      <w:r w:rsidRPr="00D74622">
        <w:rPr>
          <w:rStyle w:val="Forte"/>
          <w:rFonts w:ascii="Garamond" w:hAnsi="Garamond"/>
        </w:rPr>
        <w:t>Quadrilha Junina Infantil</w:t>
      </w:r>
      <w:r w:rsidRPr="00D74622">
        <w:rPr>
          <w:rFonts w:ascii="Garamond" w:hAnsi="Garamond"/>
        </w:rPr>
        <w:t xml:space="preserve"> destina-se ao fomento de grupos formados predominantemente por crianças, com </w:t>
      </w:r>
      <w:proofErr w:type="spellStart"/>
      <w:r w:rsidRPr="00D74622">
        <w:rPr>
          <w:rFonts w:ascii="Garamond" w:hAnsi="Garamond"/>
        </w:rPr>
        <w:t>caráter</w:t>
      </w:r>
      <w:proofErr w:type="spellEnd"/>
      <w:r w:rsidRPr="00D74622">
        <w:rPr>
          <w:rFonts w:ascii="Garamond" w:hAnsi="Garamond"/>
        </w:rPr>
        <w:t xml:space="preserve"> cultural, educativo, comunitário e formativo, voltado à iniciação das novas gerações nas tradições juninas. Essa categoria contempla quadrilhas organizadas por bairros, comunidades, associações comunitárias, escolas municipais, projetos sociais, grupos culturais, coletivos locais e demais iniciativas comunitárias que desenvolvam ações voltadas à participação infantil no Ciclo Junino de Eusébio. O objetivo principal é estimular o contato das crianças com a cultura popular nordestina, por meio da dança, da música, da indumentária, da convivência comunitária, da valorização das tradições e do fortalecimento do sentimento de pertencimento cultural desde a infância. As propostas deverão priorizar a </w:t>
      </w:r>
      <w:proofErr w:type="spellStart"/>
      <w:r w:rsidRPr="00D74622">
        <w:rPr>
          <w:rFonts w:ascii="Garamond" w:hAnsi="Garamond"/>
        </w:rPr>
        <w:t>ludicidade</w:t>
      </w:r>
      <w:proofErr w:type="spellEnd"/>
      <w:r w:rsidRPr="00D74622">
        <w:rPr>
          <w:rFonts w:ascii="Garamond" w:hAnsi="Garamond"/>
        </w:rPr>
        <w:t xml:space="preserve">, a segurança, o acompanhamento responsável, o respeito à faixa etária dos participantes, a inclusão, a convivência comunitária e a preservação das tradições juninas, sem exigência de </w:t>
      </w:r>
      <w:proofErr w:type="spellStart"/>
      <w:r w:rsidRPr="00D74622">
        <w:rPr>
          <w:rFonts w:ascii="Garamond" w:hAnsi="Garamond"/>
        </w:rPr>
        <w:t>caráter</w:t>
      </w:r>
      <w:proofErr w:type="spellEnd"/>
      <w:r w:rsidRPr="00D74622">
        <w:rPr>
          <w:rFonts w:ascii="Garamond" w:hAnsi="Garamond"/>
        </w:rPr>
        <w:t xml:space="preserve"> competitivo, profissional ou de participação em circuitos oficiais de festivais. Para esta categoria, não será exigida filiação a federação, liga ou entidade representativa do movimento junino, considerando sua natureza formativa, comunitária e de incentivo à participação cultural das crianças nos festejos juninos do Município.</w:t>
      </w:r>
    </w:p>
    <w:p w14:paraId="61DB9523" w14:textId="64C297F8" w:rsidR="00D76658" w:rsidRPr="00D76658" w:rsidRDefault="00D76658" w:rsidP="00D76658">
      <w:pPr>
        <w:pStyle w:val="isselectedend"/>
        <w:spacing w:line="276" w:lineRule="auto"/>
        <w:jc w:val="both"/>
        <w:rPr>
          <w:rFonts w:ascii="Garamond" w:hAnsi="Garamond"/>
        </w:rPr>
      </w:pPr>
      <w:r w:rsidRPr="00D76658">
        <w:rPr>
          <w:rFonts w:ascii="Garamond" w:hAnsi="Garamond"/>
        </w:rPr>
        <w:t xml:space="preserve">A categoria </w:t>
      </w:r>
      <w:r w:rsidRPr="00D76658">
        <w:rPr>
          <w:rStyle w:val="Forte"/>
          <w:rFonts w:ascii="Garamond" w:hAnsi="Garamond"/>
        </w:rPr>
        <w:t>Quadrilha Junina Infantojuveni</w:t>
      </w:r>
      <w:r>
        <w:rPr>
          <w:rStyle w:val="Forte"/>
          <w:rFonts w:ascii="Garamond" w:hAnsi="Garamond"/>
        </w:rPr>
        <w:t>l</w:t>
      </w:r>
      <w:r w:rsidRPr="00D76658">
        <w:rPr>
          <w:rFonts w:ascii="Garamond" w:hAnsi="Garamond"/>
        </w:rPr>
        <w:t xml:space="preserve"> destina-se ao fomento de grupos juninos com atuação artística estruturada, trajetória cultural reconhecida e participação em festivais, mostras, concursos, circuitos juninos e eventos culturais realizados dentro e fora do Município de Eusébio.</w:t>
      </w:r>
    </w:p>
    <w:p w14:paraId="3FF54385" w14:textId="77777777" w:rsidR="00D76658" w:rsidRPr="00D76658" w:rsidRDefault="00D76658" w:rsidP="00D76658">
      <w:pPr>
        <w:pStyle w:val="isselectedend"/>
        <w:spacing w:line="276" w:lineRule="auto"/>
        <w:jc w:val="both"/>
        <w:rPr>
          <w:rFonts w:ascii="Garamond" w:hAnsi="Garamond"/>
        </w:rPr>
      </w:pPr>
      <w:r w:rsidRPr="00D76658">
        <w:rPr>
          <w:rFonts w:ascii="Garamond" w:hAnsi="Garamond"/>
        </w:rPr>
        <w:t xml:space="preserve">Essa categoria tem como finalidade apoiar quadrilhas que, além de integrarem a programação oficial do Ciclo Junino de Eusébio, também possuam capacidade técnica, artística e organizacional para representar o Município em festivais juninos externos, levando a identidade cultural </w:t>
      </w:r>
      <w:proofErr w:type="spellStart"/>
      <w:r w:rsidRPr="00D76658">
        <w:rPr>
          <w:rFonts w:ascii="Garamond" w:hAnsi="Garamond"/>
        </w:rPr>
        <w:t>eusebiense</w:t>
      </w:r>
      <w:proofErr w:type="spellEnd"/>
      <w:r w:rsidRPr="00D76658">
        <w:rPr>
          <w:rFonts w:ascii="Garamond" w:hAnsi="Garamond"/>
        </w:rPr>
        <w:t xml:space="preserve"> para outros municípios e fortalecendo a presença de Eusébio no movimento junino cearense.</w:t>
      </w:r>
    </w:p>
    <w:p w14:paraId="3F2C1D0F" w14:textId="77777777" w:rsidR="00D76658" w:rsidRPr="00D76658" w:rsidRDefault="00D76658" w:rsidP="00D76658">
      <w:pPr>
        <w:pStyle w:val="isselectedend"/>
        <w:spacing w:line="276" w:lineRule="auto"/>
        <w:jc w:val="both"/>
        <w:rPr>
          <w:rFonts w:ascii="Garamond" w:hAnsi="Garamond"/>
        </w:rPr>
      </w:pPr>
      <w:r w:rsidRPr="00D76658">
        <w:rPr>
          <w:rFonts w:ascii="Garamond" w:hAnsi="Garamond"/>
        </w:rPr>
        <w:t>As propostas deverão demonstrar organização mínima de elenco, direção artística, coreografia, repertório, figurino, temática, produção, ensaios e planejamento de participação em apresentações públicas e festivais. A seleção busca reconhecer e incentivar o processo de profissionalização das quadrilhas juninas, valorizando o trabalho de brincantes, coreógrafos, figurinistas, costureiras, músicos, produtores e demais agentes envolvidos na construção do espetáculo junino.</w:t>
      </w:r>
    </w:p>
    <w:p w14:paraId="1A6396D4" w14:textId="77777777" w:rsidR="00D76658" w:rsidRPr="00D76658" w:rsidRDefault="00D76658" w:rsidP="00D76658">
      <w:pPr>
        <w:pStyle w:val="isselectedend"/>
        <w:spacing w:line="276" w:lineRule="auto"/>
        <w:jc w:val="both"/>
        <w:rPr>
          <w:rFonts w:ascii="Garamond" w:hAnsi="Garamond"/>
        </w:rPr>
      </w:pPr>
      <w:r w:rsidRPr="00D76658">
        <w:rPr>
          <w:rFonts w:ascii="Garamond" w:hAnsi="Garamond"/>
        </w:rPr>
        <w:t xml:space="preserve">Para participação nesta categoria, a quadrilha deverá comprovar vínculo, filiação ou regularidade junto </w:t>
      </w:r>
      <w:proofErr w:type="gramStart"/>
      <w:r w:rsidRPr="00D76658">
        <w:rPr>
          <w:rFonts w:ascii="Garamond" w:hAnsi="Garamond"/>
        </w:rPr>
        <w:t>a</w:t>
      </w:r>
      <w:proofErr w:type="gramEnd"/>
      <w:r w:rsidRPr="00D76658">
        <w:rPr>
          <w:rFonts w:ascii="Garamond" w:hAnsi="Garamond"/>
        </w:rPr>
        <w:t xml:space="preserve"> federação, liga ou entidade representativa do movimento junino no Estado do Ceará, como forma de demonstrar sua inserção no circuito junino estadual, sua aptidão para participação em festivais e sua capacidade de representar oficialmente o Município de Eusébio em eventos culturais fora do território municipal.</w:t>
      </w:r>
    </w:p>
    <w:p w14:paraId="799DF657" w14:textId="77777777" w:rsidR="00D76658" w:rsidRPr="00D76658" w:rsidRDefault="00D76658" w:rsidP="00D76658">
      <w:pPr>
        <w:pStyle w:val="NormalWeb"/>
        <w:spacing w:line="276" w:lineRule="auto"/>
        <w:jc w:val="both"/>
        <w:rPr>
          <w:rFonts w:ascii="Garamond" w:hAnsi="Garamond"/>
        </w:rPr>
      </w:pPr>
      <w:r w:rsidRPr="00D76658">
        <w:rPr>
          <w:rFonts w:ascii="Garamond" w:hAnsi="Garamond"/>
        </w:rPr>
        <w:lastRenderedPageBreak/>
        <w:t>A exigência de filiação ou regularidade junto à entidade representativa do movimento junino tem por finalidade comprovar o grau de organização do grupo, sua participação no calendário junino estadual e sua condição de representante cultural do Município, sem descaracterizar a natureza de fomento cultural do presente Edital.</w:t>
      </w:r>
    </w:p>
    <w:p w14:paraId="3400F2FC" w14:textId="77777777" w:rsidR="00D76658" w:rsidRDefault="00D76658" w:rsidP="00B40A1B">
      <w:pPr>
        <w:pStyle w:val="isselectedend"/>
        <w:spacing w:before="0" w:beforeAutospacing="0" w:after="0" w:afterAutospacing="0"/>
        <w:ind w:left="-57"/>
        <w:jc w:val="both"/>
        <w:rPr>
          <w:rFonts w:ascii="Garamond" w:hAnsi="Garamond"/>
        </w:rPr>
      </w:pPr>
    </w:p>
    <w:p w14:paraId="145D1C57" w14:textId="77777777" w:rsidR="00D76658" w:rsidRDefault="00D76658" w:rsidP="00B40A1B">
      <w:pPr>
        <w:pStyle w:val="isselectedend"/>
        <w:spacing w:before="0" w:beforeAutospacing="0" w:after="0" w:afterAutospacing="0"/>
        <w:ind w:left="-57"/>
        <w:jc w:val="both"/>
        <w:rPr>
          <w:rFonts w:ascii="Garamond" w:hAnsi="Garamond"/>
        </w:rPr>
      </w:pPr>
    </w:p>
    <w:p w14:paraId="082CF544" w14:textId="237681C5" w:rsidR="00B40A1B" w:rsidRPr="00B40A1B" w:rsidRDefault="00B40A1B" w:rsidP="00B40A1B">
      <w:pPr>
        <w:pStyle w:val="isselectedend"/>
        <w:spacing w:before="0" w:beforeAutospacing="0" w:after="0" w:afterAutospacing="0"/>
        <w:ind w:left="-57"/>
        <w:jc w:val="both"/>
        <w:rPr>
          <w:rFonts w:ascii="Garamond" w:hAnsi="Garamond"/>
        </w:rPr>
      </w:pPr>
      <w:r w:rsidRPr="00B40A1B">
        <w:rPr>
          <w:rFonts w:ascii="Garamond" w:hAnsi="Garamond"/>
        </w:rPr>
        <w:t xml:space="preserve">A categoria </w:t>
      </w:r>
      <w:r w:rsidRPr="00B40A1B">
        <w:rPr>
          <w:rStyle w:val="Forte"/>
          <w:rFonts w:ascii="Garamond" w:hAnsi="Garamond"/>
        </w:rPr>
        <w:t>Quadrilha Junina Adulta</w:t>
      </w:r>
      <w:r w:rsidRPr="00B40A1B">
        <w:rPr>
          <w:rFonts w:ascii="Garamond" w:hAnsi="Garamond"/>
        </w:rPr>
        <w:t xml:space="preserve"> destina-se ao fomento de grupo junino com trajetória cultural consolidada, maior nível de organização artística, técnica e administrativa, bem como capacidade de participação em festivais, mostras, concursos, circuitos juninos e eventos culturais realizados dentro e fora do Município de Eusébio.</w:t>
      </w:r>
    </w:p>
    <w:p w14:paraId="3FC9F3F1" w14:textId="77777777" w:rsidR="00B40A1B" w:rsidRPr="00B40A1B" w:rsidRDefault="00B40A1B" w:rsidP="00B40A1B">
      <w:pPr>
        <w:pStyle w:val="isselectedend"/>
        <w:spacing w:before="0" w:beforeAutospacing="0" w:after="0" w:afterAutospacing="0"/>
        <w:ind w:left="-57"/>
        <w:jc w:val="both"/>
        <w:rPr>
          <w:rFonts w:ascii="Garamond" w:hAnsi="Garamond"/>
        </w:rPr>
      </w:pPr>
      <w:r w:rsidRPr="00B40A1B">
        <w:rPr>
          <w:rFonts w:ascii="Garamond" w:hAnsi="Garamond"/>
        </w:rPr>
        <w:t xml:space="preserve">Esta categoria tem como finalidade apoiar quadrilhas adultas que, além de integrarem a programação oficial do Ciclo Junino de Eusébio, atuem como representantes culturais do Município em festivais juninos externos, levando a identidade, a tradição e a produção cultural </w:t>
      </w:r>
      <w:proofErr w:type="spellStart"/>
      <w:r w:rsidRPr="00B40A1B">
        <w:rPr>
          <w:rFonts w:ascii="Garamond" w:hAnsi="Garamond"/>
        </w:rPr>
        <w:t>eusebiense</w:t>
      </w:r>
      <w:proofErr w:type="spellEnd"/>
      <w:r w:rsidRPr="00B40A1B">
        <w:rPr>
          <w:rFonts w:ascii="Garamond" w:hAnsi="Garamond"/>
        </w:rPr>
        <w:t xml:space="preserve"> para outros municípios e fortalecendo a presença de Eusébio no movimento junino do Estado do Ceará.</w:t>
      </w:r>
    </w:p>
    <w:p w14:paraId="41A02DE8" w14:textId="77777777" w:rsidR="00B40A1B" w:rsidRPr="00B40A1B" w:rsidRDefault="00B40A1B" w:rsidP="00B40A1B">
      <w:pPr>
        <w:pStyle w:val="isselectedend"/>
        <w:spacing w:before="0" w:beforeAutospacing="0" w:after="0" w:afterAutospacing="0"/>
        <w:ind w:left="-57"/>
        <w:jc w:val="both"/>
        <w:rPr>
          <w:rFonts w:ascii="Garamond" w:hAnsi="Garamond"/>
        </w:rPr>
      </w:pPr>
      <w:r w:rsidRPr="00B40A1B">
        <w:rPr>
          <w:rFonts w:ascii="Garamond" w:hAnsi="Garamond"/>
        </w:rPr>
        <w:t>A quadrilha adulta deverá demonstrar planejamento artístico compatível com apresentações de maior porte, contemplando direção artística, coreografia, repertório, figurino, temática, produção, ensaios, organização de elenco, equipe técnica e demais elementos necessários à construção do espetáculo junino.</w:t>
      </w:r>
    </w:p>
    <w:p w14:paraId="390DF074" w14:textId="77777777" w:rsidR="00B40A1B" w:rsidRPr="00B40A1B" w:rsidRDefault="00B40A1B" w:rsidP="00B40A1B">
      <w:pPr>
        <w:pStyle w:val="isselectedend"/>
        <w:spacing w:before="0" w:beforeAutospacing="0" w:after="0" w:afterAutospacing="0"/>
        <w:ind w:left="-57"/>
        <w:jc w:val="both"/>
        <w:rPr>
          <w:rFonts w:ascii="Garamond" w:hAnsi="Garamond"/>
        </w:rPr>
      </w:pPr>
      <w:r w:rsidRPr="00B40A1B">
        <w:rPr>
          <w:rFonts w:ascii="Garamond" w:hAnsi="Garamond"/>
        </w:rPr>
        <w:t>A presente categoria também busca reconhecer e incentivar o processo de profissionalização das quadrilhas juninas adultas, valorizando o trabalho dos brincantes, marcadores, coreógrafos, figurinistas, costureiras, músicos, produtores culturais, aderecistas, cenógrafos e demais profissionais envolvidos na realização da proposta cultural.</w:t>
      </w:r>
    </w:p>
    <w:p w14:paraId="66CE5D71" w14:textId="77777777" w:rsidR="00B40A1B" w:rsidRPr="00B40A1B" w:rsidRDefault="00B40A1B" w:rsidP="00B40A1B">
      <w:pPr>
        <w:pStyle w:val="isselectedend"/>
        <w:spacing w:before="0" w:beforeAutospacing="0" w:after="0" w:afterAutospacing="0"/>
        <w:ind w:left="-57"/>
        <w:jc w:val="both"/>
        <w:rPr>
          <w:rFonts w:ascii="Garamond" w:hAnsi="Garamond"/>
        </w:rPr>
      </w:pPr>
      <w:r w:rsidRPr="00B40A1B">
        <w:rPr>
          <w:rFonts w:ascii="Garamond" w:hAnsi="Garamond"/>
        </w:rPr>
        <w:t>Para participação nesta categoria, a quadrilha deverá comprovar vínculo, filiação ou regularidade junto a uma federação, liga ou entidade representativa do movimento junino no Estado do Ceará, como forma de demonstrar sua inserção no circuito junino estadual, sua aptidão para participação em festivais e sua capacidade de representar oficialmente o Município de Eusébio em eventos culturais fora do território municipal.</w:t>
      </w:r>
    </w:p>
    <w:p w14:paraId="15E3A6F3" w14:textId="77777777" w:rsidR="00B40A1B" w:rsidRPr="00B40A1B" w:rsidRDefault="00B40A1B" w:rsidP="00B40A1B">
      <w:pPr>
        <w:pStyle w:val="isselectedend"/>
        <w:spacing w:before="0" w:beforeAutospacing="0" w:after="0" w:afterAutospacing="0"/>
        <w:ind w:left="-57"/>
        <w:jc w:val="both"/>
        <w:rPr>
          <w:rFonts w:ascii="Garamond" w:hAnsi="Garamond"/>
        </w:rPr>
      </w:pPr>
      <w:r w:rsidRPr="00B40A1B">
        <w:rPr>
          <w:rFonts w:ascii="Garamond" w:hAnsi="Garamond"/>
        </w:rPr>
        <w:t xml:space="preserve">A comprovação da atuação em festivais, mostras, concursos ou circuitos juninos poderá ser realizada por meio de certificados, declarações, </w:t>
      </w:r>
      <w:proofErr w:type="gramStart"/>
      <w:r w:rsidRPr="00B40A1B">
        <w:rPr>
          <w:rFonts w:ascii="Garamond" w:hAnsi="Garamond"/>
        </w:rPr>
        <w:t>registros</w:t>
      </w:r>
      <w:proofErr w:type="gramEnd"/>
      <w:r w:rsidRPr="00B40A1B">
        <w:rPr>
          <w:rFonts w:ascii="Garamond" w:hAnsi="Garamond"/>
        </w:rPr>
        <w:t xml:space="preserve"> fotográficos, vídeos, cartazes, matérias jornalísticas, publicações em redes sociais, documentos emitidos por entidades organizadoras ou outros meios idôneos que demonstrem a trajetória e a representatividade cultural do grupo.</w:t>
      </w:r>
    </w:p>
    <w:p w14:paraId="59886528" w14:textId="77777777" w:rsidR="00B40A1B" w:rsidRPr="00B40A1B" w:rsidRDefault="00B40A1B" w:rsidP="00B40A1B">
      <w:pPr>
        <w:pStyle w:val="NormalWeb"/>
        <w:spacing w:before="0" w:beforeAutospacing="0" w:after="0" w:afterAutospacing="0"/>
        <w:ind w:left="-57"/>
        <w:jc w:val="both"/>
        <w:rPr>
          <w:rFonts w:ascii="Garamond" w:hAnsi="Garamond"/>
        </w:rPr>
      </w:pPr>
      <w:r w:rsidRPr="00B40A1B">
        <w:rPr>
          <w:rFonts w:ascii="Garamond" w:hAnsi="Garamond"/>
        </w:rPr>
        <w:t>A exigência de filiação ou regularidade junto à entidade representativa do movimento junino tem por finalidade comprovar o grau de organização da quadrilha, sua participação no calendário junino estadual e sua condição de representante cultural do Município de Eusébio, sem descaracterizar a natureza de fomento cultural do presente Edital.</w:t>
      </w:r>
    </w:p>
    <w:p w14:paraId="6E04991E" w14:textId="77777777" w:rsidR="00B40A1B" w:rsidRDefault="00B40A1B" w:rsidP="00D74622">
      <w:pPr>
        <w:pStyle w:val="NormalWeb"/>
        <w:spacing w:line="276" w:lineRule="auto"/>
        <w:jc w:val="both"/>
        <w:rPr>
          <w:rFonts w:ascii="Garamond" w:hAnsi="Garamond"/>
        </w:rPr>
      </w:pPr>
    </w:p>
    <w:p w14:paraId="7559F857" w14:textId="77777777" w:rsidR="00B40A1B" w:rsidRPr="00D74622" w:rsidRDefault="00B40A1B" w:rsidP="00D74622">
      <w:pPr>
        <w:pStyle w:val="NormalWeb"/>
        <w:spacing w:line="276" w:lineRule="auto"/>
        <w:jc w:val="both"/>
        <w:rPr>
          <w:rFonts w:ascii="Garamond" w:hAnsi="Garamond"/>
        </w:rPr>
      </w:pPr>
    </w:p>
    <w:p w14:paraId="77AA903B" w14:textId="77777777" w:rsidR="00D74622" w:rsidRPr="002B0F21" w:rsidRDefault="00D74622" w:rsidP="00023F4B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</w:p>
    <w:p w14:paraId="4D62C09A" w14:textId="77777777" w:rsidR="00BE7F3F" w:rsidRPr="00023F4B" w:rsidRDefault="00BE7F3F">
      <w:pPr>
        <w:rPr>
          <w:lang w:val="pt-PT"/>
        </w:rPr>
      </w:pPr>
    </w:p>
    <w:sectPr w:rsidR="00BE7F3F" w:rsidRPr="00023F4B" w:rsidSect="00B40A1B">
      <w:pgSz w:w="11901" w:h="16817"/>
      <w:pgMar w:top="1837" w:right="1552" w:bottom="15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4B"/>
    <w:rsid w:val="00003994"/>
    <w:rsid w:val="00023F4B"/>
    <w:rsid w:val="00136774"/>
    <w:rsid w:val="00234661"/>
    <w:rsid w:val="002701CF"/>
    <w:rsid w:val="0041222A"/>
    <w:rsid w:val="006C3D49"/>
    <w:rsid w:val="0073179D"/>
    <w:rsid w:val="008B33A7"/>
    <w:rsid w:val="008B77B6"/>
    <w:rsid w:val="00B40A1B"/>
    <w:rsid w:val="00BE7F3F"/>
    <w:rsid w:val="00D30BE6"/>
    <w:rsid w:val="00D74622"/>
    <w:rsid w:val="00D76658"/>
    <w:rsid w:val="00DD2CB9"/>
    <w:rsid w:val="00E32DD2"/>
    <w:rsid w:val="00FD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398A"/>
  <w15:chartTrackingRefBased/>
  <w15:docId w15:val="{26626414-D935-7947-A525-01BE2874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line="259" w:lineRule="auto"/>
        <w:ind w:right="-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F4B"/>
    <w:pPr>
      <w:spacing w:after="200" w:line="276" w:lineRule="auto"/>
      <w:ind w:right="0"/>
    </w:pPr>
    <w:rPr>
      <w:rFonts w:ascii="Times New Roman" w:eastAsiaTheme="minorEastAsia" w:hAnsi="Times New Roman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023F4B"/>
    <w:pPr>
      <w:keepNext/>
      <w:keepLines/>
      <w:spacing w:before="360" w:after="80" w:line="259" w:lineRule="auto"/>
      <w:ind w:right="-57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PT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23F4B"/>
    <w:pPr>
      <w:keepNext/>
      <w:keepLines/>
      <w:spacing w:before="160" w:after="80" w:line="259" w:lineRule="auto"/>
      <w:ind w:right="-57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PT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23F4B"/>
    <w:pPr>
      <w:keepNext/>
      <w:keepLines/>
      <w:spacing w:before="160" w:after="80" w:line="259" w:lineRule="auto"/>
      <w:ind w:right="-57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PT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23F4B"/>
    <w:pPr>
      <w:keepNext/>
      <w:keepLines/>
      <w:spacing w:before="80" w:after="40" w:line="259" w:lineRule="auto"/>
      <w:ind w:right="-57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23F4B"/>
    <w:pPr>
      <w:keepNext/>
      <w:keepLines/>
      <w:spacing w:before="80" w:after="40" w:line="259" w:lineRule="auto"/>
      <w:ind w:right="-57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23F4B"/>
    <w:pPr>
      <w:keepNext/>
      <w:keepLines/>
      <w:spacing w:before="40" w:after="0" w:line="259" w:lineRule="auto"/>
      <w:ind w:right="-57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PT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23F4B"/>
    <w:pPr>
      <w:keepNext/>
      <w:keepLines/>
      <w:spacing w:before="40" w:after="0" w:line="259" w:lineRule="auto"/>
      <w:ind w:right="-57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PT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23F4B"/>
    <w:pPr>
      <w:keepNext/>
      <w:keepLines/>
      <w:spacing w:after="0" w:line="259" w:lineRule="auto"/>
      <w:ind w:right="-57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PT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23F4B"/>
    <w:pPr>
      <w:keepNext/>
      <w:keepLines/>
      <w:spacing w:after="0" w:line="259" w:lineRule="auto"/>
      <w:ind w:right="-57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PT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23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23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23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23F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23F4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23F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23F4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23F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23F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23F4B"/>
    <w:pPr>
      <w:spacing w:after="80" w:line="240" w:lineRule="auto"/>
      <w:ind w:right="-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23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23F4B"/>
    <w:pPr>
      <w:numPr>
        <w:ilvl w:val="1"/>
      </w:numPr>
      <w:spacing w:after="160" w:line="259" w:lineRule="auto"/>
      <w:ind w:right="-5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PT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23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23F4B"/>
    <w:pPr>
      <w:spacing w:before="160" w:after="160" w:line="259" w:lineRule="auto"/>
      <w:ind w:right="-57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t-PT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23F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3F4B"/>
    <w:pPr>
      <w:spacing w:after="0" w:line="259" w:lineRule="auto"/>
      <w:ind w:left="720" w:right="-57"/>
      <w:contextualSpacing/>
    </w:pPr>
    <w:rPr>
      <w:rFonts w:asciiTheme="minorHAnsi" w:eastAsiaTheme="minorHAnsi" w:hAnsiTheme="minorHAnsi"/>
      <w:kern w:val="2"/>
      <w:sz w:val="24"/>
      <w:szCs w:val="24"/>
      <w:lang w:val="pt-PT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023F4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23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23F4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23F4B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D7462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D746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462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1085</Words>
  <Characters>6545</Characters>
  <Application>Microsoft Office Word</Application>
  <DocSecurity>0</DocSecurity>
  <Lines>125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Abreu</dc:creator>
  <cp:keywords/>
  <dc:description/>
  <cp:lastModifiedBy>francisco Abreu</cp:lastModifiedBy>
  <cp:revision>6</cp:revision>
  <dcterms:created xsi:type="dcterms:W3CDTF">2026-06-01T12:33:00Z</dcterms:created>
  <dcterms:modified xsi:type="dcterms:W3CDTF">2026-06-08T14:40:00Z</dcterms:modified>
</cp:coreProperties>
</file>