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001/2024 - 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SECRETARIA DE CULTURA E IGUALDADE RACIAL - LAVRAS DA MANGABEIRA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[DIVERSAS LINGUAGENS]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-441625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w2v7NvkhBQ9pzcmwx5KZl4VsA==">CgMxLjA4AHIhMUFxM0cyblRCZXVhRVJyTjNPeXptdlJXNUdPLUZNU1ZK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