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ATIVIDADES ARTÍSTICAS E CULTURAIS - LEI PAULO GUSTAVO (LC Nº 195/2022) - CATUNDA/CE - DIVERSAS ÁREAS DA CULTURA - Nº 01/2023,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Catunda/CE, ______ de ______________ de 2023.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1" w:name="_igxqge6v3oaq"/>
      <w:bookmarkStart w:id="2" w:name="_igxqge6v3oaq"/>
      <w:bookmarkEnd w:id="2"/>
    </w:p>
    <w:tbl>
      <w:tblPr>
        <w:tblStyle w:val="Table17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537"/>
        <w:gridCol w:w="2702"/>
        <w:gridCol w:w="2264"/>
      </w:tblGrid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br/>
      </w:r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vmmozzvwwhi4"/>
      <w:bookmarkEnd w:id="3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4" w:name="_qhsynp8gs494"/>
      <w:bookmarkEnd w:id="4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2</Pages>
  <Words>251</Words>
  <Characters>1758</Characters>
  <CharactersWithSpaces>2005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2023-10-04T16:00:32Z</dcterms:modified>
  <cp:revision>3</cp:revision>
  <dc:subject/>
  <dc:title/>
</cp:coreProperties>
</file>